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149 156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D32х3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5 104,000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  <w:br/>
              <w:t>
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D32х3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  <w:br/>
              <w:t>
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D32х3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  <w:br/>
              <w:t>
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D32х3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10 758,200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  <w:br/>
              <w:t>
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D32х3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  <w:br/>
              <w:t>
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  <w:br/>
              <w:t>
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  <w:br/>
              <w:t>
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1 054,700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  <w:br/>
              <w:t>
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  <w:br/>
              <w:t>
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211,500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  <w:br/>
              <w:t>
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22,500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  <w:br/>
              <w:t>
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  <w:br/>
              <w:t>
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D63х5.8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4 202,040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  <w:br/>
              <w:t>
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D110х10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2 511,000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</w:t>
              <w:br/>
              <w:t>
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D160х14.6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858,000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</w:t>
              <w:br/>
              <w:t>
загрузкой.При погрузке каждый второй ряд перекладывать деревянными прокладками. Склад оснащен оборудованием, способным осуществлять только верхнюю</w:t>
              <w:br/>
              <w:t>
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D225х20.5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</w:t>
              <w:br/>
              <w:t>
загрузкой.При погрузке каждый второй ряд перекладывать деревянными прокладками. Склад оснащен оборудованием, способным осуществлять только верхнюю</w:t>
              <w:br/>
              <w:t>
погрузку или выгрузку автотранспорта.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D315х28.6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</w:t>
              <w:br/>
              <w:t>
загрузкой.При погрузке каждый второй ряд перекладывать деревянными прокладками. Склад оснащен оборудованием, способным осуществлять только верхнюю</w:t>
              <w:br/>
              <w:t>
погрузку или выгрузку автотранспорта.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D32х3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5 104,000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D32х3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611,000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D32х3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D32х3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10 758,200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D32х3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1 054,700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211,500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22,500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D63х5.8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4 202,040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D110х10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2 511,000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D160х14.6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858,000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D225х20.5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D315х28.6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3 294 914,07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502 614,02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2 792 300,05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</w:t>
              <w:br/>
              <w:t>
течение 30 (тридцати) календарных дней с даты подписания уполномоченными</w:t>
              <w:br/>
              <w:t>
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